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7A" w:rsidRDefault="00487104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1863090</wp:posOffset>
            </wp:positionH>
            <wp:positionV relativeFrom="paragraph">
              <wp:posOffset>-122553</wp:posOffset>
            </wp:positionV>
            <wp:extent cx="1533525" cy="1533525"/>
            <wp:effectExtent l="0" t="0" r="0" b="0"/>
            <wp:wrapSquare wrapText="bothSides" distT="0" distB="0" distL="0" distR="0"/>
            <wp:docPr id="1" name="image1.png" descr="FELE LOGO OFIC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ELE LOGO OFICI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227A" w:rsidRDefault="00A2227A"/>
    <w:p w:rsidR="00A2227A" w:rsidRDefault="00A2227A"/>
    <w:p w:rsidR="00A2227A" w:rsidRDefault="00A2227A">
      <w:pPr>
        <w:rPr>
          <w:rFonts w:ascii="Cambria" w:eastAsia="Cambria" w:hAnsi="Cambria" w:cs="Cambria"/>
          <w:b/>
          <w:color w:val="17365D"/>
          <w:sz w:val="24"/>
          <w:szCs w:val="24"/>
        </w:rPr>
      </w:pPr>
    </w:p>
    <w:p w:rsidR="00A2227A" w:rsidRDefault="00A2227A">
      <w:pPr>
        <w:rPr>
          <w:rFonts w:ascii="Cambria" w:eastAsia="Cambria" w:hAnsi="Cambria" w:cs="Cambria"/>
          <w:b/>
          <w:color w:val="17365D"/>
          <w:sz w:val="24"/>
          <w:szCs w:val="24"/>
        </w:rPr>
      </w:pPr>
    </w:p>
    <w:p w:rsidR="00A2227A" w:rsidRDefault="00487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center"/>
        <w:rPr>
          <w:rFonts w:ascii="Cambria" w:eastAsia="Cambria" w:hAnsi="Cambria" w:cs="Cambria"/>
          <w:b/>
          <w:color w:val="17365D"/>
          <w:sz w:val="28"/>
          <w:szCs w:val="28"/>
        </w:rPr>
      </w:pPr>
      <w:r>
        <w:rPr>
          <w:rFonts w:ascii="Cambria" w:eastAsia="Cambria" w:hAnsi="Cambria" w:cs="Cambria"/>
          <w:b/>
          <w:color w:val="17365D"/>
          <w:sz w:val="28"/>
          <w:szCs w:val="28"/>
        </w:rPr>
        <w:t xml:space="preserve">López de </w:t>
      </w:r>
      <w:proofErr w:type="spellStart"/>
      <w:r>
        <w:rPr>
          <w:rFonts w:ascii="Cambria" w:eastAsia="Cambria" w:hAnsi="Cambria" w:cs="Cambria"/>
          <w:b/>
          <w:color w:val="17365D"/>
          <w:sz w:val="28"/>
          <w:szCs w:val="28"/>
        </w:rPr>
        <w:t>Silanes</w:t>
      </w:r>
      <w:proofErr w:type="spellEnd"/>
      <w:r>
        <w:rPr>
          <w:rFonts w:ascii="Cambria" w:eastAsia="Cambria" w:hAnsi="Cambria" w:cs="Cambria"/>
          <w:b/>
          <w:color w:val="17365D"/>
          <w:sz w:val="28"/>
          <w:szCs w:val="28"/>
        </w:rPr>
        <w:t xml:space="preserve"> defiende </w:t>
      </w:r>
      <w:r w:rsidR="00864179">
        <w:rPr>
          <w:rFonts w:ascii="Cambria" w:eastAsia="Cambria" w:hAnsi="Cambria" w:cs="Cambria"/>
          <w:b/>
          <w:color w:val="17365D"/>
          <w:sz w:val="28"/>
          <w:szCs w:val="28"/>
        </w:rPr>
        <w:t>el compromiso del sector del petróleo con la lucha contra el cambio climático y su peso en la economía mundial</w:t>
      </w:r>
    </w:p>
    <w:p w:rsidR="00A2227A" w:rsidRDefault="0048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El presidente de CLH, 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compañía líder en el transporte y almacenamiento de productos petrolíferos en Europa y una de las principales de este sector en el mundo, presidió 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esta mañana la reunión del Consejo Asesor de la Federación Leonesa de Empresarios.</w:t>
      </w:r>
    </w:p>
    <w:p w:rsidR="00A2227A" w:rsidRDefault="0048710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José Luis López de </w:t>
      </w:r>
      <w:proofErr w:type="spellStart"/>
      <w:r>
        <w:rPr>
          <w:rFonts w:ascii="Cambria" w:eastAsia="Cambria" w:hAnsi="Cambria" w:cs="Cambria"/>
          <w:sz w:val="24"/>
          <w:szCs w:val="24"/>
        </w:rPr>
        <w:t>Silanes</w:t>
      </w:r>
      <w:proofErr w:type="spellEnd"/>
      <w:r>
        <w:rPr>
          <w:rFonts w:ascii="Cambria" w:eastAsia="Cambria" w:hAnsi="Cambria" w:cs="Cambria"/>
          <w:sz w:val="24"/>
          <w:szCs w:val="24"/>
        </w:rPr>
        <w:t>, presidente del Grupo CLH, presidió este viernes una reunión del Consejo Asesor de la Federación Leonesa de Empresarios, el alto órgano consultivo</w:t>
      </w:r>
      <w:r>
        <w:rPr>
          <w:rFonts w:ascii="Cambria" w:eastAsia="Cambria" w:hAnsi="Cambria" w:cs="Cambria"/>
          <w:sz w:val="24"/>
          <w:szCs w:val="24"/>
        </w:rPr>
        <w:t xml:space="preserve"> que tiene por finalidad establecer líneas de actuación estratégicas  en defensa de los intereses de los empresarios.</w:t>
      </w:r>
    </w:p>
    <w:p w:rsidR="00A2227A" w:rsidRDefault="00487104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Silanes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abordó los retos a los que se enfrenta la creciente demanda energética en la actualidad en un entorno en transición afectado por e</w:t>
      </w:r>
      <w:r>
        <w:rPr>
          <w:rFonts w:ascii="Cambria" w:eastAsia="Cambria" w:hAnsi="Cambria" w:cs="Cambria"/>
          <w:sz w:val="24"/>
          <w:szCs w:val="24"/>
        </w:rPr>
        <w:t xml:space="preserve">l cambio climático.  El presidente de CLH, destacó que “el mundo está construyendo un  nuevo sistema energético” fundamentado en tres pilares fundamentales: seguridad del suministro, competitividad y sostenibilidad medioambiental. </w:t>
      </w:r>
    </w:p>
    <w:p w:rsidR="00A2227A" w:rsidRDefault="00487104">
      <w:pPr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 este panorama,  el pe</w:t>
      </w:r>
      <w:r>
        <w:rPr>
          <w:rFonts w:ascii="Cambria" w:eastAsia="Cambria" w:hAnsi="Cambria" w:cs="Cambria"/>
          <w:sz w:val="24"/>
          <w:szCs w:val="24"/>
        </w:rPr>
        <w:t xml:space="preserve">tróleo es parte fundamental. Actualmente, el sector del petróleo representa en España más del 2,5% del PIB, aporta más de 22.000 millones en impuestos y genera más de 270.000 empleos de calidad.  López de </w:t>
      </w:r>
      <w:proofErr w:type="spellStart"/>
      <w:r>
        <w:rPr>
          <w:rFonts w:ascii="Cambria" w:eastAsia="Cambria" w:hAnsi="Cambria" w:cs="Cambria"/>
          <w:sz w:val="24"/>
          <w:szCs w:val="24"/>
        </w:rPr>
        <w:t>Silanes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aseguró, además, que su demanda crecerá en </w:t>
      </w:r>
      <w:r>
        <w:rPr>
          <w:rFonts w:ascii="Cambria" w:eastAsia="Cambria" w:hAnsi="Cambria" w:cs="Cambria"/>
          <w:sz w:val="24"/>
          <w:szCs w:val="24"/>
        </w:rPr>
        <w:t>el mundo en torno al 11% en el horizonte 2040, principalmente en el sector del transporte.</w:t>
      </w:r>
    </w:p>
    <w:p w:rsidR="00864179" w:rsidRDefault="00487104">
      <w:pPr>
        <w:shd w:val="clear" w:color="auto" w:fill="FFFFFF"/>
        <w:spacing w:before="192"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la par que se prevé un importante aumento de la demanda, el presidente de CLH aseguró que cada vez será más relevante el papel de los productos petrolíferos en la </w:t>
      </w:r>
      <w:r>
        <w:rPr>
          <w:rFonts w:ascii="Cambria" w:eastAsia="Cambria" w:hAnsi="Cambria" w:cs="Cambria"/>
          <w:sz w:val="24"/>
          <w:szCs w:val="24"/>
        </w:rPr>
        <w:t xml:space="preserve">lucha contra el cambio climático. De este modo, el reto para el sector es reducir las emisiones  “con medidas más efectivas”, por ejemplo mejorando la eficiencia, a </w:t>
      </w:r>
      <w:r>
        <w:rPr>
          <w:rFonts w:ascii="Cambria" w:eastAsia="Cambria" w:hAnsi="Cambria" w:cs="Cambria"/>
          <w:sz w:val="24"/>
          <w:szCs w:val="24"/>
        </w:rPr>
        <w:lastRenderedPageBreak/>
        <w:t>través del uso de sistemas de captura y almacenamiento de CO2 o a través de la mejora de co</w:t>
      </w:r>
      <w:r>
        <w:rPr>
          <w:rFonts w:ascii="Cambria" w:eastAsia="Cambria" w:hAnsi="Cambria" w:cs="Cambria"/>
          <w:sz w:val="24"/>
          <w:szCs w:val="24"/>
        </w:rPr>
        <w:t>mbustibles y motores de combustión.</w:t>
      </w:r>
    </w:p>
    <w:p w:rsidR="00A2227A" w:rsidRPr="00864179" w:rsidRDefault="00487104">
      <w:pPr>
        <w:shd w:val="clear" w:color="auto" w:fill="FFFFFF"/>
        <w:spacing w:before="192"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864179">
        <w:rPr>
          <w:rFonts w:ascii="Cambria" w:eastAsia="Cambria" w:hAnsi="Cambria" w:cs="Cambria"/>
          <w:sz w:val="24"/>
          <w:szCs w:val="24"/>
        </w:rPr>
        <w:t>“La transición ene</w:t>
      </w:r>
      <w:bookmarkStart w:id="0" w:name="_GoBack"/>
      <w:bookmarkEnd w:id="0"/>
      <w:r w:rsidR="00864179">
        <w:rPr>
          <w:rFonts w:ascii="Cambria" w:eastAsia="Cambria" w:hAnsi="Cambria" w:cs="Cambria"/>
          <w:sz w:val="24"/>
          <w:szCs w:val="24"/>
        </w:rPr>
        <w:t xml:space="preserve">rgética hay que hacerla de forma justa, bajo el criterio de neutralidad tecnológica”, aseguró. En este sentido, </w:t>
      </w:r>
      <w:r w:rsidRPr="00864179">
        <w:rPr>
          <w:rFonts w:ascii="Cambria" w:eastAsia="Cambria" w:hAnsi="Cambria" w:cs="Cambria"/>
          <w:sz w:val="24"/>
          <w:szCs w:val="24"/>
        </w:rPr>
        <w:t>puso como ejemplo la obligación impuesta a los consum</w:t>
      </w:r>
      <w:r w:rsidRPr="00864179">
        <w:rPr>
          <w:rFonts w:ascii="Cambria" w:eastAsia="Cambria" w:hAnsi="Cambria" w:cs="Cambria"/>
          <w:sz w:val="24"/>
          <w:szCs w:val="24"/>
        </w:rPr>
        <w:t xml:space="preserve">idores de comprar vehículos </w:t>
      </w:r>
      <w:r w:rsidR="00864179" w:rsidRPr="00864179">
        <w:rPr>
          <w:rFonts w:ascii="Cambria" w:eastAsia="Cambria" w:hAnsi="Cambria" w:cs="Cambria"/>
          <w:sz w:val="24"/>
          <w:szCs w:val="24"/>
        </w:rPr>
        <w:t xml:space="preserve">eléctricos. “La contaminación se evita ayudando a retirar vehículos viejos, con subvenciones que ayuden a la compra de otros nuevos, no prohibiéndolos”. </w:t>
      </w:r>
      <w:r w:rsidRPr="00864179">
        <w:rPr>
          <w:rFonts w:ascii="Cambria" w:eastAsia="Cambria" w:hAnsi="Cambria" w:cs="Cambria"/>
          <w:sz w:val="24"/>
          <w:szCs w:val="24"/>
        </w:rPr>
        <w:t xml:space="preserve">Instó </w:t>
      </w:r>
      <w:r w:rsidR="00864179" w:rsidRPr="00864179">
        <w:rPr>
          <w:rFonts w:ascii="Cambria" w:eastAsia="Cambria" w:hAnsi="Cambria" w:cs="Cambria"/>
          <w:sz w:val="24"/>
          <w:szCs w:val="24"/>
        </w:rPr>
        <w:t xml:space="preserve">en este caso </w:t>
      </w:r>
      <w:r w:rsidRPr="00864179">
        <w:rPr>
          <w:rFonts w:ascii="Cambria" w:eastAsia="Cambria" w:hAnsi="Cambria" w:cs="Cambria"/>
          <w:sz w:val="24"/>
          <w:szCs w:val="24"/>
        </w:rPr>
        <w:t>a tomar medidas que consideren todas las consecuencias para “asegurar la eficiencia, mantener la competitividad y el bienestar de los ciudadanos” p</w:t>
      </w:r>
      <w:r w:rsidRPr="00864179">
        <w:rPr>
          <w:rFonts w:ascii="Cambria" w:eastAsia="Cambria" w:hAnsi="Cambria" w:cs="Cambria"/>
          <w:sz w:val="24"/>
          <w:szCs w:val="24"/>
        </w:rPr>
        <w:t>or ejemplo, reemplazando vehículos menos eficientes por vehículos con motor de combustión Euro6.</w:t>
      </w:r>
    </w:p>
    <w:p w:rsidR="00A2227A" w:rsidRDefault="00A2227A">
      <w:pPr>
        <w:shd w:val="clear" w:color="auto" w:fill="FFFFFF"/>
        <w:spacing w:before="192" w:after="0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sectPr w:rsidR="00A2227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04" w:rsidRDefault="00487104">
      <w:pPr>
        <w:spacing w:after="0" w:line="240" w:lineRule="auto"/>
      </w:pPr>
      <w:r>
        <w:separator/>
      </w:r>
    </w:p>
  </w:endnote>
  <w:endnote w:type="continuationSeparator" w:id="0">
    <w:p w:rsidR="00487104" w:rsidRDefault="0048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7A" w:rsidRDefault="00A2227A">
    <w:pPr>
      <w:spacing w:after="0"/>
      <w:jc w:val="center"/>
      <w:rPr>
        <w:rFonts w:ascii="Cambria" w:eastAsia="Cambria" w:hAnsi="Cambria" w:cs="Cambria"/>
        <w:b/>
        <w:color w:val="17365D"/>
        <w:sz w:val="18"/>
        <w:szCs w:val="18"/>
      </w:rPr>
    </w:pPr>
  </w:p>
  <w:p w:rsidR="00A2227A" w:rsidRDefault="00487104">
    <w:pPr>
      <w:spacing w:after="0"/>
      <w:jc w:val="center"/>
      <w:rPr>
        <w:rFonts w:ascii="Cambria" w:eastAsia="Cambria" w:hAnsi="Cambria" w:cs="Cambria"/>
        <w:b/>
        <w:color w:val="17365D"/>
        <w:sz w:val="18"/>
        <w:szCs w:val="18"/>
      </w:rPr>
    </w:pPr>
    <w:r>
      <w:rPr>
        <w:rFonts w:ascii="Cambria" w:eastAsia="Cambria" w:hAnsi="Cambria" w:cs="Cambria"/>
        <w:b/>
        <w:color w:val="17365D"/>
        <w:sz w:val="18"/>
        <w:szCs w:val="18"/>
      </w:rPr>
      <w:t>Para más información:</w:t>
    </w:r>
  </w:p>
  <w:p w:rsidR="00A2227A" w:rsidRDefault="00487104">
    <w:pPr>
      <w:spacing w:after="0"/>
      <w:jc w:val="center"/>
      <w:rPr>
        <w:rFonts w:ascii="Cambria" w:eastAsia="Cambria" w:hAnsi="Cambria" w:cs="Cambria"/>
        <w:b/>
        <w:color w:val="17365D"/>
        <w:sz w:val="18"/>
        <w:szCs w:val="18"/>
      </w:rPr>
    </w:pPr>
    <w:hyperlink r:id="rId1">
      <w:r>
        <w:rPr>
          <w:rFonts w:ascii="Cambria" w:eastAsia="Cambria" w:hAnsi="Cambria" w:cs="Cambria"/>
          <w:b/>
          <w:color w:val="0000FF"/>
          <w:sz w:val="18"/>
          <w:szCs w:val="18"/>
          <w:u w:val="single"/>
        </w:rPr>
        <w:t>prensa@fele.es</w:t>
      </w:r>
    </w:hyperlink>
    <w:r>
      <w:rPr>
        <w:rFonts w:ascii="Cambria" w:eastAsia="Cambria" w:hAnsi="Cambria" w:cs="Cambria"/>
        <w:b/>
        <w:color w:val="17365D"/>
        <w:sz w:val="18"/>
        <w:szCs w:val="18"/>
      </w:rPr>
      <w:t xml:space="preserve">  987 218250</w:t>
    </w:r>
  </w:p>
  <w:p w:rsidR="00A2227A" w:rsidRDefault="00487104">
    <w:pPr>
      <w:spacing w:after="0"/>
      <w:jc w:val="center"/>
      <w:rPr>
        <w:rFonts w:ascii="Cambria" w:eastAsia="Cambria" w:hAnsi="Cambria" w:cs="Cambria"/>
        <w:b/>
        <w:color w:val="17365D"/>
        <w:sz w:val="18"/>
        <w:szCs w:val="18"/>
      </w:rPr>
    </w:pPr>
    <w:r>
      <w:rPr>
        <w:rFonts w:ascii="Cambria" w:eastAsia="Cambria" w:hAnsi="Cambria" w:cs="Cambria"/>
        <w:b/>
        <w:color w:val="17365D"/>
        <w:sz w:val="18"/>
        <w:szCs w:val="18"/>
      </w:rPr>
      <w:t>Avda. Independencia nº 4, 4º y 5º  Aptdo.403 24001 León</w:t>
    </w:r>
  </w:p>
  <w:tbl>
    <w:tblPr>
      <w:tblStyle w:val="a"/>
      <w:tblW w:w="8720" w:type="dxa"/>
      <w:tblInd w:w="0" w:type="dxa"/>
      <w:tblLayout w:type="fixed"/>
      <w:tblLook w:val="0400" w:firstRow="0" w:lastRow="0" w:firstColumn="0" w:lastColumn="0" w:noHBand="0" w:noVBand="1"/>
    </w:tblPr>
    <w:tblGrid>
      <w:gridCol w:w="3642"/>
      <w:gridCol w:w="1437"/>
      <w:gridCol w:w="3641"/>
    </w:tblGrid>
    <w:tr w:rsidR="00A2227A">
      <w:trPr>
        <w:trHeight w:val="140"/>
      </w:trPr>
      <w:tc>
        <w:tcPr>
          <w:tcW w:w="3642" w:type="dxa"/>
          <w:tcBorders>
            <w:bottom w:val="single" w:sz="4" w:space="0" w:color="4F81BD"/>
          </w:tcBorders>
        </w:tcPr>
        <w:p w:rsidR="00A2227A" w:rsidRDefault="00A222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437" w:type="dxa"/>
          <w:vMerge w:val="restart"/>
          <w:vAlign w:val="center"/>
        </w:tcPr>
        <w:p w:rsidR="00A2227A" w:rsidRDefault="004871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 w:cs="Cambria"/>
              <w:b/>
              <w:color w:val="17365D"/>
            </w:rPr>
            <w:t>www.fele.es</w:t>
          </w:r>
        </w:p>
      </w:tc>
      <w:tc>
        <w:tcPr>
          <w:tcW w:w="3641" w:type="dxa"/>
          <w:tcBorders>
            <w:bottom w:val="single" w:sz="4" w:space="0" w:color="4F81BD"/>
          </w:tcBorders>
        </w:tcPr>
        <w:p w:rsidR="00A2227A" w:rsidRDefault="00A222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A2227A">
      <w:trPr>
        <w:trHeight w:val="140"/>
      </w:trPr>
      <w:tc>
        <w:tcPr>
          <w:tcW w:w="3642" w:type="dxa"/>
          <w:tcBorders>
            <w:top w:val="single" w:sz="4" w:space="0" w:color="4F81BD"/>
          </w:tcBorders>
        </w:tcPr>
        <w:p w:rsidR="00A2227A" w:rsidRDefault="00A222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437" w:type="dxa"/>
          <w:vMerge/>
          <w:vAlign w:val="center"/>
        </w:tcPr>
        <w:p w:rsidR="00A2227A" w:rsidRDefault="00A222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3641" w:type="dxa"/>
          <w:tcBorders>
            <w:top w:val="single" w:sz="4" w:space="0" w:color="4F81BD"/>
          </w:tcBorders>
        </w:tcPr>
        <w:p w:rsidR="00A2227A" w:rsidRDefault="00A222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A2227A" w:rsidRDefault="00A222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04" w:rsidRDefault="00487104">
      <w:pPr>
        <w:spacing w:after="0" w:line="240" w:lineRule="auto"/>
      </w:pPr>
      <w:r>
        <w:separator/>
      </w:r>
    </w:p>
  </w:footnote>
  <w:footnote w:type="continuationSeparator" w:id="0">
    <w:p w:rsidR="00487104" w:rsidRDefault="0048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7A" w:rsidRDefault="0048710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252"/>
        <w:tab w:val="right" w:pos="8504"/>
      </w:tabs>
      <w:spacing w:after="0"/>
      <w:jc w:val="center"/>
      <w:rPr>
        <w:rFonts w:ascii="Cambria" w:eastAsia="Cambria" w:hAnsi="Cambria" w:cs="Cambria"/>
        <w:b/>
        <w:color w:val="17365D"/>
        <w:sz w:val="32"/>
        <w:szCs w:val="32"/>
      </w:rPr>
    </w:pPr>
    <w:r>
      <w:rPr>
        <w:rFonts w:ascii="Cambria" w:eastAsia="Cambria" w:hAnsi="Cambria" w:cs="Cambria"/>
        <w:b/>
        <w:color w:val="17365D"/>
        <w:sz w:val="32"/>
        <w:szCs w:val="32"/>
      </w:rPr>
      <w:t>NOTA DE PRENSA</w:t>
    </w:r>
  </w:p>
  <w:p w:rsidR="00A2227A" w:rsidRDefault="0048710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252"/>
        <w:tab w:val="right" w:pos="8504"/>
      </w:tabs>
      <w:spacing w:after="0"/>
      <w:jc w:val="center"/>
      <w:rPr>
        <w:rFonts w:ascii="Cambria" w:eastAsia="Cambria" w:hAnsi="Cambria" w:cs="Cambria"/>
        <w:b/>
        <w:color w:val="002060"/>
        <w:sz w:val="24"/>
        <w:szCs w:val="24"/>
      </w:rPr>
    </w:pPr>
    <w:r>
      <w:rPr>
        <w:rFonts w:ascii="Cambria" w:eastAsia="Cambria" w:hAnsi="Cambria" w:cs="Cambria"/>
        <w:b/>
        <w:color w:val="002060"/>
        <w:sz w:val="24"/>
        <w:szCs w:val="24"/>
      </w:rPr>
      <w:t>22 de marzo de 2019</w:t>
    </w:r>
  </w:p>
  <w:p w:rsidR="00A2227A" w:rsidRDefault="00A222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A5BFB"/>
    <w:multiLevelType w:val="multilevel"/>
    <w:tmpl w:val="04161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227A"/>
    <w:rsid w:val="00487104"/>
    <w:rsid w:val="00864179"/>
    <w:rsid w:val="00A2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3449B-4D18-421B-AB3A-AB0395E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PORTATIL</cp:lastModifiedBy>
  <cp:revision>2</cp:revision>
  <dcterms:created xsi:type="dcterms:W3CDTF">2019-03-22T14:23:00Z</dcterms:created>
  <dcterms:modified xsi:type="dcterms:W3CDTF">2019-03-22T14:29:00Z</dcterms:modified>
</cp:coreProperties>
</file>